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 </w:t>
      </w:r>
      <w:r>
        <w:rPr>
          <w:rFonts w:ascii="Arial" w:hAnsi="Arial" w:eastAsia="宋体" w:cs="Arial"/>
          <w:b/>
          <w:sz w:val="24"/>
          <w:szCs w:val="24"/>
          <w:lang w:eastAsia="zh-CN"/>
        </w:rPr>
        <w:t>110bis</w:t>
      </w:r>
      <w:r>
        <w:rPr>
          <w:rFonts w:hint="eastAsia" w:ascii="Arial" w:hAnsi="Arial" w:cs="Arial"/>
          <w:b/>
          <w:color w:val="FF0000"/>
          <w:sz w:val="24"/>
          <w:szCs w:val="24"/>
        </w:rPr>
        <w:t xml:space="preserve"> </w:t>
      </w:r>
      <w:r>
        <w:rPr>
          <w:rFonts w:hint="eastAsia" w:ascii="Arial" w:hAnsi="Arial" w:cs="Arial"/>
          <w:b/>
          <w:sz w:val="24"/>
          <w:szCs w:val="24"/>
        </w:rPr>
        <w:t xml:space="preserve">                              </w:t>
      </w:r>
      <w:bookmarkStart w:id="11" w:name="_GoBack"/>
      <w:bookmarkEnd w:id="11"/>
      <w:r>
        <w:rPr>
          <w:rFonts w:hint="eastAsia" w:ascii="Arial" w:hAnsi="Arial" w:cs="Arial"/>
          <w:b/>
          <w:color w:val="auto"/>
          <w:sz w:val="24"/>
          <w:szCs w:val="24"/>
        </w:rPr>
        <w:t>R4-2405202</w:t>
      </w:r>
    </w:p>
    <w:bookmarkEnd w:id="2"/>
    <w:p>
      <w:pPr>
        <w:pStyle w:val="15"/>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Changsha, China, 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2024</w:t>
      </w: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NR_cov_enh2 demodulation requirements</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6.17.2</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sz w:val="20"/>
          <w:szCs w:val="20"/>
          <w:lang w:val="en-US" w:eastAsia="zh-CN"/>
        </w:rPr>
      </w:pPr>
      <w:r>
        <w:rPr>
          <w:rFonts w:hint="eastAsia"/>
          <w:sz w:val="20"/>
          <w:szCs w:val="20"/>
          <w:lang w:val="en-US" w:eastAsia="zh-CN"/>
        </w:rPr>
        <w:t>In RAN #102 meeting</w:t>
      </w:r>
      <w:r>
        <w:rPr>
          <w:rFonts w:hint="eastAsia"/>
          <w:sz w:val="20"/>
          <w:szCs w:val="20"/>
          <w:vertAlign w:val="baseline"/>
          <w:lang w:val="en-US" w:eastAsia="zh-CN"/>
        </w:rPr>
        <w:t>[1]</w:t>
      </w:r>
      <w:r>
        <w:rPr>
          <w:rFonts w:hint="eastAsia"/>
          <w:sz w:val="20"/>
          <w:szCs w:val="20"/>
          <w:lang w:val="en-US" w:eastAsia="zh-CN"/>
        </w:rPr>
        <w:t xml:space="preserve">, the revised work item on Revised WID on further NR coverage enhancements was approved. In RAN4 #109 and RAN4 #110 meeting[2][3], most issues were reached while some issues about the simulation parameters of multiple PRACH transmission are still FFS.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kern w:val="0"/>
          <w:sz w:val="20"/>
          <w:lang w:val="en-US" w:eastAsia="zh-CN"/>
        </w:rPr>
      </w:pPr>
      <w:r>
        <w:rPr>
          <w:rFonts w:hint="eastAsia"/>
          <w:kern w:val="0"/>
          <w:sz w:val="20"/>
          <w:lang w:val="en-US" w:eastAsia="zh-CN"/>
        </w:rPr>
        <w:t xml:space="preserve">This contribution shares our views about the multiple PRACH demodulation requirements and simulation results for different SCS and channel models. </w:t>
      </w:r>
    </w:p>
    <w:bookmarkEnd w:id="3"/>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bookmarkStart w:id="4" w:name="OLE_LINK6"/>
      <w:bookmarkStart w:id="5" w:name="OLE_LINK41"/>
      <w:bookmarkStart w:id="6" w:name="OLE_LINK66"/>
      <w:bookmarkStart w:id="7" w:name="OLE_LINK23"/>
      <w:r>
        <w:rPr>
          <w:rFonts w:hint="eastAsia"/>
          <w:sz w:val="20"/>
          <w:lang w:val="en-US" w:eastAsia="zh-CN"/>
        </w:rPr>
        <w:t>Some issues about multiple PRACH requirements are listed below[4].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autoSpaceDE/>
              <w:autoSpaceDN/>
              <w:adjustRightInd/>
              <w:spacing w:after="180"/>
              <w:textAlignment w:val="auto"/>
              <w:rPr>
                <w:rFonts w:eastAsia="宋体"/>
                <w:b/>
                <w:u w:val="single"/>
                <w:lang w:eastAsia="en-US"/>
              </w:rPr>
            </w:pPr>
            <w:r>
              <w:rPr>
                <w:rFonts w:eastAsia="宋体"/>
                <w:b/>
                <w:u w:val="single"/>
                <w:lang w:eastAsia="en-US"/>
              </w:rPr>
              <w:t>PRACH repetition number for BS performance requirements for Multiple PRACH transmission</w:t>
            </w:r>
          </w:p>
          <w:p>
            <w:pPr>
              <w:overflowPunct w:val="0"/>
              <w:autoSpaceDE w:val="0"/>
              <w:autoSpaceDN w:val="0"/>
              <w:adjustRightInd w:val="0"/>
              <w:spacing w:after="180"/>
              <w:textAlignment w:val="baseline"/>
              <w:rPr>
                <w:lang w:eastAsia="zh-CN"/>
              </w:rPr>
            </w:pPr>
            <w:r>
              <w:rPr>
                <w:lang w:eastAsia="zh-CN"/>
              </w:rPr>
              <w:t>Way forward for the next meeting:</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lang w:eastAsia="zh-CN"/>
              </w:rPr>
            </w:pPr>
            <w:r>
              <w:rPr>
                <w:lang w:eastAsia="zh-CN"/>
              </w:rPr>
              <w:t>Companies to further check the simulation assumptions including TDD pattern, PRACH repetition interval for both FR1 and FR2.</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lang w:eastAsia="zh-CN"/>
              </w:rPr>
            </w:pPr>
            <w:r>
              <w:rPr>
                <w:lang w:eastAsia="zh-CN"/>
              </w:rPr>
              <w:t>For the repetition number, keep the previous meeting agreement before simulation assumption agreed.</w:t>
            </w:r>
          </w:p>
          <w:p>
            <w:pPr>
              <w:overflowPunct/>
              <w:autoSpaceDE/>
              <w:autoSpaceDN/>
              <w:adjustRightInd/>
              <w:spacing w:after="180"/>
              <w:textAlignment w:val="auto"/>
              <w:rPr>
                <w:rFonts w:eastAsia="宋体"/>
                <w:b/>
                <w:u w:val="single"/>
                <w:lang w:eastAsia="en-US"/>
              </w:rPr>
            </w:pPr>
            <w:r>
              <w:rPr>
                <w:rFonts w:eastAsia="宋体"/>
                <w:b/>
                <w:u w:val="single"/>
                <w:lang w:eastAsia="en-US"/>
              </w:rPr>
              <w:t>Sub Carrier Spacing for BS performance requirements for PRACH repetitions</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eastAsia="宋体"/>
                <w:lang w:eastAsia="zh-CN"/>
              </w:rPr>
            </w:pPr>
            <w:r>
              <w:rPr>
                <w:rFonts w:eastAsia="宋体"/>
                <w:lang w:eastAsia="zh-CN"/>
              </w:rPr>
              <w:t xml:space="preserve">For FR1: 15kHz and 30kHz </w:t>
            </w:r>
          </w:p>
          <w:p>
            <w:pPr>
              <w:widowControl w:val="0"/>
              <w:numPr>
                <w:ilvl w:val="1"/>
                <w:numId w:val="7"/>
              </w:numPr>
              <w:tabs>
                <w:tab w:val="left" w:pos="484"/>
                <w:tab w:val="left" w:pos="709"/>
                <w:tab w:val="left" w:pos="1440"/>
                <w:tab w:val="left" w:pos="1701"/>
              </w:tabs>
              <w:overflowPunct/>
              <w:autoSpaceDE/>
              <w:autoSpaceDN/>
              <w:adjustRightInd/>
              <w:snapToGrid w:val="0"/>
              <w:spacing w:before="60" w:after="60"/>
              <w:ind w:left="730" w:leftChars="213" w:hanging="283"/>
              <w:textAlignment w:val="auto"/>
              <w:rPr>
                <w:rFonts w:eastAsia="宋体"/>
                <w:lang w:eastAsia="zh-CN"/>
              </w:rPr>
            </w:pPr>
            <w:r>
              <w:rPr>
                <w:rFonts w:eastAsia="宋体"/>
                <w:lang w:eastAsia="zh-CN"/>
              </w:rPr>
              <w:t>For FR2-1: Agree with 120 kHz and FFS for 60 kHz. Encourage operators to provide input.</w:t>
            </w:r>
          </w:p>
          <w:p>
            <w:pPr>
              <w:widowControl w:val="0"/>
              <w:numPr>
                <w:ilvl w:val="0"/>
                <w:numId w:val="0"/>
              </w:numPr>
              <w:tabs>
                <w:tab w:val="left" w:pos="484"/>
                <w:tab w:val="left" w:pos="709"/>
                <w:tab w:val="left" w:pos="1440"/>
                <w:tab w:val="left" w:pos="1701"/>
              </w:tabs>
              <w:overflowPunct/>
              <w:autoSpaceDE/>
              <w:autoSpaceDN/>
              <w:adjustRightInd/>
              <w:snapToGrid w:val="0"/>
              <w:spacing w:before="60" w:after="60"/>
              <w:textAlignment w:val="auto"/>
              <w:rPr>
                <w:rFonts w:hint="default" w:ascii="Times New Roman" w:hAnsi="Times New Roman" w:cs="Times New Roman"/>
                <w:sz w:val="20"/>
                <w:szCs w:val="20"/>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lang w:val="en-US" w:eastAsia="zh-CN"/>
        </w:rPr>
      </w:pPr>
      <w:r>
        <w:rPr>
          <w:rFonts w:hint="eastAsia" w:cs="Times New Roman"/>
          <w:sz w:val="20"/>
          <w:szCs w:val="20"/>
          <w:lang w:val="en-US" w:eastAsia="zh-CN"/>
        </w:rPr>
        <w:t>With regard to TDD pattern, RRC signaling and DCI 2-0 can configure a very flexible TDD pattern. To align simulation results a same TDD pattern such as 3D1S1U or 7D1S2U can be considered.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r>
        <w:rPr>
          <w:rFonts w:hint="default" w:ascii="Times New Roman" w:hAnsi="Times New Roman" w:cs="Times New Roman"/>
          <w:b/>
          <w:bCs/>
          <w:i/>
          <w:iCs/>
          <w:kern w:val="2"/>
          <w:sz w:val="20"/>
          <w:szCs w:val="20"/>
          <w:lang w:val="en-US" w:eastAsia="zh-CN"/>
        </w:rPr>
        <w:t xml:space="preserve">Proposal 1. To consider the </w:t>
      </w:r>
      <w:r>
        <w:rPr>
          <w:rFonts w:hint="eastAsia" w:cs="Times New Roman"/>
          <w:b/>
          <w:bCs/>
          <w:i/>
          <w:iCs/>
          <w:kern w:val="2"/>
          <w:sz w:val="20"/>
          <w:szCs w:val="20"/>
          <w:lang w:val="en-US" w:eastAsia="zh-CN"/>
        </w:rPr>
        <w:t>following TDD pattern</w:t>
      </w:r>
      <w:r>
        <w:rPr>
          <w:rFonts w:hint="default" w:ascii="Times New Roman" w:hAnsi="Times New Roman" w:cs="Times New Roman"/>
          <w:b/>
          <w:bCs/>
          <w:i/>
          <w:iCs/>
          <w:kern w:val="2"/>
          <w:sz w:val="20"/>
          <w:szCs w:val="20"/>
          <w:lang w:val="en-US" w:eastAsia="zh-CN"/>
        </w:rPr>
        <w:t xml:space="preserve"> for </w:t>
      </w:r>
      <w:r>
        <w:rPr>
          <w:rFonts w:hint="eastAsia" w:cs="Times New Roman"/>
          <w:b/>
          <w:bCs/>
          <w:i/>
          <w:iCs/>
          <w:kern w:val="2"/>
          <w:sz w:val="20"/>
          <w:szCs w:val="20"/>
          <w:lang w:val="en-US" w:eastAsia="zh-CN"/>
        </w:rPr>
        <w:t>multiple PRACH</w:t>
      </w:r>
      <w:r>
        <w:rPr>
          <w:rFonts w:hint="default" w:ascii="Times New Roman" w:hAnsi="Times New Roman" w:cs="Times New Roman"/>
          <w:b/>
          <w:bCs/>
          <w:i/>
          <w:iCs/>
          <w:kern w:val="2"/>
          <w:sz w:val="20"/>
          <w:szCs w:val="20"/>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420" w:firstLineChars="0"/>
        <w:textAlignment w:val="auto"/>
        <w:rPr>
          <w:rFonts w:hint="default" w:ascii="Times New Roman" w:hAnsi="Times New Roman" w:cs="Times New Roman"/>
          <w:b/>
          <w:bCs/>
          <w:i/>
          <w:iCs/>
          <w:kern w:val="2"/>
          <w:sz w:val="20"/>
          <w:szCs w:val="20"/>
          <w:lang w:val="en-US" w:eastAsia="zh-CN"/>
        </w:rPr>
      </w:pPr>
      <w:r>
        <w:rPr>
          <w:rFonts w:hint="eastAsia" w:ascii="Times New Roman" w:hAnsi="Times New Roman" w:cs="Times New Roman"/>
          <w:b/>
          <w:bCs/>
          <w:i/>
          <w:iCs/>
          <w:kern w:val="2"/>
          <w:sz w:val="20"/>
          <w:szCs w:val="20"/>
          <w:lang w:val="en-US" w:eastAsia="zh-CN"/>
        </w:rPr>
        <w:t>3D1S1U for 15KHz, 60kHz and 120kHz</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420" w:firstLineChars="0"/>
        <w:textAlignment w:val="auto"/>
        <w:rPr>
          <w:rFonts w:hint="default" w:ascii="Times New Roman" w:hAnsi="Times New Roman" w:cs="Times New Roman"/>
          <w:b/>
          <w:bCs/>
          <w:i/>
          <w:iCs/>
          <w:kern w:val="2"/>
          <w:sz w:val="20"/>
          <w:szCs w:val="20"/>
          <w:lang w:val="en-US" w:eastAsia="zh-CN"/>
        </w:rPr>
      </w:pPr>
      <w:r>
        <w:rPr>
          <w:rFonts w:hint="eastAsia" w:ascii="Times New Roman" w:hAnsi="Times New Roman" w:cs="Times New Roman"/>
          <w:b/>
          <w:bCs/>
          <w:i/>
          <w:iCs/>
          <w:kern w:val="2"/>
          <w:sz w:val="20"/>
          <w:szCs w:val="20"/>
          <w:lang w:val="en-US" w:eastAsia="zh-CN"/>
        </w:rPr>
        <w:t>7D1S2U for 30kHz</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lang w:val="en-US" w:eastAsia="zh-CN"/>
        </w:rPr>
      </w:pPr>
      <w:r>
        <w:rPr>
          <w:rFonts w:hint="eastAsia" w:cs="Times New Roman"/>
          <w:sz w:val="20"/>
          <w:szCs w:val="20"/>
          <w:lang w:val="en-US" w:eastAsia="zh-CN"/>
        </w:rPr>
        <w:t>With regard to PRACH repetition interval, A2 and C2 can be repeated in one slot but B4 can not be repeated in one slot due to the large Nu, therefore it is proposed to transmit one preamble in one slot for different preamble format. Combined with proplsal 1, the following PRACH repetition interval can be considered.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r>
        <w:rPr>
          <w:rFonts w:hint="default" w:ascii="Times New Roman" w:hAnsi="Times New Roman" w:cs="Times New Roman"/>
          <w:b/>
          <w:bCs/>
          <w:i/>
          <w:iCs/>
          <w:kern w:val="2"/>
          <w:sz w:val="20"/>
          <w:szCs w:val="20"/>
          <w:lang w:val="en-US" w:eastAsia="zh-CN"/>
        </w:rPr>
        <w:t xml:space="preserve">Proposal </w:t>
      </w:r>
      <w:r>
        <w:rPr>
          <w:rFonts w:hint="eastAsia" w:cs="Times New Roman"/>
          <w:b/>
          <w:bCs/>
          <w:i/>
          <w:iCs/>
          <w:kern w:val="2"/>
          <w:sz w:val="20"/>
          <w:szCs w:val="20"/>
          <w:lang w:val="en-US" w:eastAsia="zh-CN"/>
        </w:rPr>
        <w:t>2</w:t>
      </w:r>
      <w:r>
        <w:rPr>
          <w:rFonts w:hint="default" w:ascii="Times New Roman" w:hAnsi="Times New Roman" w:cs="Times New Roman"/>
          <w:b/>
          <w:bCs/>
          <w:i/>
          <w:iCs/>
          <w:kern w:val="2"/>
          <w:sz w:val="20"/>
          <w:szCs w:val="20"/>
          <w:lang w:val="en-US" w:eastAsia="zh-CN"/>
        </w:rPr>
        <w:t xml:space="preserve">. To consider the </w:t>
      </w:r>
      <w:r>
        <w:rPr>
          <w:rFonts w:hint="eastAsia" w:cs="Times New Roman"/>
          <w:b/>
          <w:bCs/>
          <w:i/>
          <w:iCs/>
          <w:kern w:val="2"/>
          <w:sz w:val="20"/>
          <w:szCs w:val="20"/>
          <w:lang w:val="en-US" w:eastAsia="zh-CN"/>
        </w:rPr>
        <w:t>following PRACH repetition interval for multiple PRACH</w:t>
      </w:r>
      <w:r>
        <w:rPr>
          <w:rFonts w:hint="default" w:ascii="Times New Roman" w:hAnsi="Times New Roman" w:cs="Times New Roman"/>
          <w:b/>
          <w:bCs/>
          <w:i/>
          <w:iCs/>
          <w:kern w:val="2"/>
          <w:sz w:val="20"/>
          <w:szCs w:val="20"/>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420" w:firstLineChars="0"/>
        <w:textAlignment w:val="auto"/>
        <w:rPr>
          <w:rFonts w:hint="default" w:ascii="Times New Roman" w:hAnsi="Times New Roman" w:cs="Times New Roman"/>
          <w:b/>
          <w:bCs/>
          <w:i/>
          <w:iCs/>
          <w:kern w:val="2"/>
          <w:sz w:val="20"/>
          <w:szCs w:val="20"/>
          <w:lang w:val="en-US" w:eastAsia="zh-CN"/>
        </w:rPr>
      </w:pPr>
      <w:r>
        <w:rPr>
          <w:rFonts w:hint="eastAsia" w:cs="Times New Roman"/>
          <w:b/>
          <w:bCs/>
          <w:i/>
          <w:iCs/>
          <w:kern w:val="2"/>
          <w:sz w:val="20"/>
          <w:szCs w:val="20"/>
          <w:lang w:val="en-US" w:eastAsia="zh-CN"/>
        </w:rPr>
        <w:t>5 slots</w:t>
      </w:r>
      <w:r>
        <w:rPr>
          <w:rFonts w:hint="eastAsia" w:ascii="Times New Roman" w:hAnsi="Times New Roman" w:cs="Times New Roman"/>
          <w:b/>
          <w:bCs/>
          <w:i/>
          <w:iCs/>
          <w:kern w:val="2"/>
          <w:sz w:val="20"/>
          <w:szCs w:val="20"/>
          <w:lang w:val="en-US" w:eastAsia="zh-CN"/>
        </w:rPr>
        <w:t xml:space="preserve"> for 15KHz, 60kHz and 120kHz</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420" w:firstLineChars="0"/>
        <w:textAlignment w:val="auto"/>
        <w:rPr>
          <w:rFonts w:hint="default" w:ascii="Times New Roman" w:hAnsi="Times New Roman" w:cs="Times New Roman"/>
          <w:b/>
          <w:bCs/>
          <w:i/>
          <w:iCs/>
          <w:kern w:val="2"/>
          <w:sz w:val="20"/>
          <w:szCs w:val="20"/>
          <w:lang w:val="en-US" w:eastAsia="zh-CN"/>
        </w:rPr>
      </w:pPr>
      <w:r>
        <w:rPr>
          <w:rFonts w:hint="eastAsia" w:cs="Times New Roman"/>
          <w:b/>
          <w:bCs/>
          <w:i/>
          <w:iCs/>
          <w:kern w:val="2"/>
          <w:sz w:val="20"/>
          <w:szCs w:val="20"/>
          <w:lang w:val="en-US" w:eastAsia="zh-CN"/>
        </w:rPr>
        <w:t>1 slot</w:t>
      </w:r>
      <w:r>
        <w:rPr>
          <w:rFonts w:hint="eastAsia" w:ascii="Times New Roman" w:hAnsi="Times New Roman" w:cs="Times New Roman"/>
          <w:b/>
          <w:bCs/>
          <w:i/>
          <w:iCs/>
          <w:kern w:val="2"/>
          <w:sz w:val="20"/>
          <w:szCs w:val="20"/>
          <w:lang w:val="en-US" w:eastAsia="zh-CN"/>
        </w:rPr>
        <w:t xml:space="preserve"> for 30kHz</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With regard to SCS for FR2-1, the requirements of 60kHz SCS and 120kHz SCS for FR2-1 are defined in 38.104[3]. Table 2-1 shows the </w:t>
      </w:r>
      <w:r>
        <w:rPr>
          <w:rFonts w:hint="eastAsia" w:cs="Times New Roman"/>
          <w:sz w:val="20"/>
          <w:szCs w:val="20"/>
          <w:lang w:val="en-US" w:eastAsia="zh-CN"/>
        </w:rPr>
        <w:t xml:space="preserve">updated </w:t>
      </w:r>
      <w:r>
        <w:rPr>
          <w:rFonts w:hint="default" w:ascii="Times New Roman" w:hAnsi="Times New Roman" w:cs="Times New Roman"/>
          <w:sz w:val="20"/>
          <w:szCs w:val="20"/>
          <w:lang w:val="en-US" w:eastAsia="zh-CN"/>
        </w:rPr>
        <w:t>miss detection performance with 60kHz SCS and 120kHz SCS and the miss detection curves are appended in the annex for reference.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Table 2-1 SNR comparison of different SCS for FR2-1 </w:t>
      </w:r>
      <w:r>
        <w:rPr>
          <w:rFonts w:hint="eastAsia" w:cs="Times New Roman"/>
          <w:sz w:val="20"/>
          <w:szCs w:val="20"/>
          <w:lang w:val="en-US" w:eastAsia="zh-CN"/>
        </w:rPr>
        <w:t>multiple PRACH</w:t>
      </w:r>
    </w:p>
    <w:tbl>
      <w:tblPr>
        <w:tblStyle w:val="23"/>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2104"/>
        <w:gridCol w:w="2104"/>
        <w:gridCol w:w="2104"/>
        <w:gridCol w:w="2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index</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Preamble format</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SCS(kHz)</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Channel mode</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Operating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1</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A2</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120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AWGN w/o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lang w:val="en-US" w:eastAsia="zh-CN"/>
              </w:rPr>
            </w:pPr>
            <w:r>
              <w:rPr>
                <w:rFonts w:hint="eastAsia"/>
                <w:sz w:val="20"/>
                <w:vertAlign w:val="baseline"/>
                <w:lang w:val="en-US" w:eastAsia="zh-CN"/>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2</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vertAlign w:val="baseline"/>
                <w:lang w:val="en-US" w:eastAsia="zh-CN"/>
              </w:rPr>
            </w:pPr>
            <w:r>
              <w:rPr>
                <w:rFonts w:hint="eastAsia" w:cs="Times New Roman"/>
                <w:sz w:val="20"/>
                <w:szCs w:val="20"/>
                <w:vertAlign w:val="baseline"/>
                <w:lang w:val="en-US" w:eastAsia="zh-CN"/>
              </w:rPr>
              <w:t>A2</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120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TDLA30-300 low w/ 4000Hz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lang w:val="en-US" w:eastAsia="zh-CN"/>
              </w:rPr>
            </w:pPr>
            <w:r>
              <w:rPr>
                <w:rFonts w:hint="default"/>
                <w:sz w:val="20"/>
                <w:vertAlign w:val="baseline"/>
                <w:lang w:val="en-US" w:eastAsia="zh-CN"/>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3</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vertAlign w:val="baseline"/>
                <w:lang w:val="en-US" w:eastAsia="zh-CN"/>
              </w:rPr>
            </w:pPr>
            <w:r>
              <w:rPr>
                <w:rFonts w:hint="eastAsia" w:cs="Times New Roman"/>
                <w:sz w:val="20"/>
                <w:szCs w:val="20"/>
                <w:vertAlign w:val="baseline"/>
                <w:lang w:val="en-US" w:eastAsia="zh-CN"/>
              </w:rPr>
              <w:t>A2</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60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AWGN w/o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lang w:val="en-US" w:eastAsia="zh-CN"/>
              </w:rPr>
            </w:pPr>
            <w:r>
              <w:rPr>
                <w:rFonts w:hint="default"/>
                <w:sz w:val="20"/>
                <w:vertAlign w:val="baseline"/>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4</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vertAlign w:val="baseline"/>
                <w:lang w:val="en-US" w:eastAsia="zh-CN"/>
              </w:rPr>
            </w:pPr>
            <w:r>
              <w:rPr>
                <w:rFonts w:hint="eastAsia" w:cs="Times New Roman"/>
                <w:sz w:val="20"/>
                <w:szCs w:val="20"/>
                <w:vertAlign w:val="baseline"/>
                <w:lang w:val="en-US" w:eastAsia="zh-CN"/>
              </w:rPr>
              <w:t>A2</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60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TDLA30-300 low w/ 4000Hz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lang w:val="en-US" w:eastAsia="zh-CN"/>
              </w:rPr>
            </w:pPr>
            <w:r>
              <w:rPr>
                <w:rFonts w:hint="default"/>
                <w:sz w:val="20"/>
                <w:vertAlign w:val="baseli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5</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B4</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120</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AWGN w/o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lang w:val="en-US"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eastAsia" w:cs="Times New Roman"/>
                <w:sz w:val="20"/>
                <w:szCs w:val="20"/>
                <w:vertAlign w:val="baseline"/>
                <w:lang w:val="en-US" w:eastAsia="zh-CN"/>
              </w:rPr>
              <w:t>6</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eastAsia" w:cs="Times New Roman"/>
                <w:sz w:val="20"/>
                <w:szCs w:val="20"/>
                <w:vertAlign w:val="baseline"/>
                <w:lang w:val="en-US" w:eastAsia="zh-CN"/>
              </w:rPr>
              <w:t>B4</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120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TDLA30-300 low w/ 4000Hz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eastAsia" w:cs="Times New Roman"/>
                <w:sz w:val="20"/>
                <w:szCs w:val="20"/>
                <w:vertAlign w:val="baseline"/>
                <w:lang w:val="en-US" w:eastAsia="zh-CN"/>
              </w:rPr>
              <w:t>7</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eastAsia" w:cs="Times New Roman"/>
                <w:sz w:val="20"/>
                <w:szCs w:val="20"/>
                <w:vertAlign w:val="baseline"/>
                <w:lang w:val="en-US" w:eastAsia="zh-CN"/>
              </w:rPr>
              <w:t>B4</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60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AWGN w/o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eastAsia="宋体" w:cs="Times New Roman"/>
                <w:kern w:val="0"/>
                <w:sz w:val="20"/>
                <w:szCs w:val="20"/>
                <w:vertAlign w:val="baseline"/>
                <w:lang w:val="en-US" w:eastAsia="zh-CN" w:bidi="ar-SA"/>
              </w:rPr>
              <w:t>-2</w:t>
            </w:r>
            <w:r>
              <w:rPr>
                <w:rFonts w:hint="default" w:ascii="Times New Roman" w:hAnsi="Times New Roman" w:cs="Times New Roman"/>
                <w:kern w:val="0"/>
                <w:sz w:val="20"/>
                <w:szCs w:val="20"/>
                <w:vertAlign w:val="baseline"/>
                <w:lang w:val="en-US" w:eastAsia="zh-CN" w:bidi="ar-SA"/>
              </w:rPr>
              <w:t>1</w:t>
            </w:r>
            <w:r>
              <w:rPr>
                <w:rFonts w:hint="default" w:ascii="Times New Roman" w:hAnsi="Times New Roman" w:eastAsia="宋体" w:cs="Times New Roman"/>
                <w:kern w:val="0"/>
                <w:sz w:val="20"/>
                <w:szCs w:val="20"/>
                <w:vertAlign w:val="baseline"/>
                <w:lang w:val="en-US" w:eastAsia="zh-CN" w:bidi="ar-SA"/>
              </w:rPr>
              <w:t>.</w:t>
            </w:r>
            <w:r>
              <w:rPr>
                <w:rFonts w:hint="default" w:ascii="Times New Roman" w:hAnsi="Times New Roman" w:cs="Times New Roman"/>
                <w:kern w:val="0"/>
                <w:sz w:val="20"/>
                <w:szCs w:val="20"/>
                <w:vertAlign w:val="baseline"/>
                <w:lang w:val="en-US" w:eastAsia="zh-CN"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eastAsia" w:cs="Times New Roman"/>
                <w:sz w:val="20"/>
                <w:szCs w:val="20"/>
                <w:vertAlign w:val="baseline"/>
                <w:lang w:val="en-US" w:eastAsia="zh-CN"/>
              </w:rPr>
              <w:t>8</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szCs w:val="20"/>
                <w:vertAlign w:val="baseline"/>
                <w:lang w:val="en-US" w:eastAsia="zh-CN" w:bidi="ar-SA"/>
              </w:rPr>
            </w:pPr>
            <w:r>
              <w:rPr>
                <w:rFonts w:hint="eastAsia" w:cs="Times New Roman"/>
                <w:sz w:val="20"/>
                <w:szCs w:val="20"/>
                <w:vertAlign w:val="baseline"/>
                <w:lang w:val="en-US" w:eastAsia="zh-CN"/>
              </w:rPr>
              <w:t>B4</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60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TDLA30-300 low w/ 4000Hz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-1</w:t>
            </w:r>
            <w:r>
              <w:rPr>
                <w:rFonts w:hint="eastAsia" w:cs="Times New Roman"/>
                <w:sz w:val="20"/>
                <w:szCs w:val="20"/>
                <w:vertAlign w:val="baseline"/>
                <w:lang w:val="en-US" w:eastAsia="zh-CN"/>
              </w:rPr>
              <w:t>1</w:t>
            </w:r>
            <w:r>
              <w:rPr>
                <w:rFonts w:hint="default" w:ascii="Times New Roman" w:hAnsi="Times New Roman" w:cs="Times New Roman"/>
                <w:sz w:val="20"/>
                <w:szCs w:val="20"/>
                <w:vertAlign w:val="baseline"/>
                <w:lang w:val="en-US" w:eastAsia="zh-CN"/>
              </w:rPr>
              <w:t>.</w:t>
            </w:r>
            <w:r>
              <w:rPr>
                <w:rFonts w:hint="eastAsia" w:cs="Times New Roman"/>
                <w:sz w:val="20"/>
                <w:szCs w:val="20"/>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eastAsia" w:cs="Times New Roman"/>
                <w:kern w:val="0"/>
                <w:sz w:val="20"/>
                <w:szCs w:val="20"/>
                <w:vertAlign w:val="baseline"/>
                <w:lang w:val="en-US" w:eastAsia="zh-CN" w:bidi="ar-SA"/>
              </w:rPr>
              <w:t>9</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eastAsia" w:cs="Times New Roman"/>
                <w:kern w:val="0"/>
                <w:sz w:val="20"/>
                <w:szCs w:val="20"/>
                <w:vertAlign w:val="baseline"/>
                <w:lang w:val="en-US" w:eastAsia="zh-CN" w:bidi="ar-SA"/>
              </w:rPr>
              <w:t>C2</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120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AWGN w/o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eastAsia"/>
                <w:sz w:val="20"/>
                <w:vertAlign w:val="baseline"/>
                <w:lang w:val="en-US" w:eastAsia="zh-CN"/>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eastAsia" w:cs="Times New Roman"/>
                <w:kern w:val="0"/>
                <w:sz w:val="20"/>
                <w:szCs w:val="20"/>
                <w:vertAlign w:val="baseline"/>
                <w:lang w:val="en-US" w:eastAsia="zh-CN" w:bidi="ar-SA"/>
              </w:rPr>
              <w:t>10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ascii="Times New Roman" w:hAnsi="Times New Roman" w:eastAsia="宋体" w:cs="Times New Roman"/>
                <w:kern w:val="0"/>
                <w:sz w:val="20"/>
                <w:szCs w:val="20"/>
                <w:vertAlign w:val="baseline"/>
                <w:lang w:val="en-US" w:eastAsia="zh-CN" w:bidi="ar-SA"/>
              </w:rPr>
            </w:pPr>
            <w:r>
              <w:rPr>
                <w:rFonts w:hint="eastAsia" w:cs="Times New Roman"/>
                <w:kern w:val="0"/>
                <w:sz w:val="20"/>
                <w:szCs w:val="20"/>
                <w:vertAlign w:val="baseline"/>
                <w:lang w:val="en-US" w:eastAsia="zh-CN" w:bidi="ar-SA"/>
              </w:rPr>
              <w:t>C2</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120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TDLA30-300 low w/ 4000Hz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sz w:val="20"/>
                <w:vertAlign w:val="baseline"/>
                <w:lang w:val="en-US" w:eastAsia="zh-CN"/>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11</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vertAlign w:val="baseline"/>
                <w:lang w:val="en-US" w:eastAsia="zh-CN"/>
              </w:rPr>
            </w:pPr>
            <w:r>
              <w:rPr>
                <w:rFonts w:hint="eastAsia" w:cs="Times New Roman"/>
                <w:kern w:val="0"/>
                <w:sz w:val="20"/>
                <w:szCs w:val="20"/>
                <w:vertAlign w:val="baseline"/>
                <w:lang w:val="en-US" w:eastAsia="zh-CN" w:bidi="ar-SA"/>
              </w:rPr>
              <w:t>C2</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60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AWGN w/o FO</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eastAsia"/>
                <w:sz w:val="20"/>
                <w:vertAlign w:val="baseline"/>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12</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cs="Times New Roman"/>
                <w:sz w:val="20"/>
                <w:szCs w:val="20"/>
                <w:vertAlign w:val="baseline"/>
                <w:lang w:val="en-US" w:eastAsia="zh-CN"/>
              </w:rPr>
            </w:pPr>
            <w:r>
              <w:rPr>
                <w:rFonts w:hint="eastAsia" w:cs="Times New Roman"/>
                <w:kern w:val="0"/>
                <w:sz w:val="20"/>
                <w:szCs w:val="20"/>
                <w:vertAlign w:val="baseline"/>
                <w:lang w:val="en-US" w:eastAsia="zh-CN" w:bidi="ar-SA"/>
              </w:rPr>
              <w:t>C2</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60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TDLA30-300 low w/ 4000Hz FO</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sz w:val="20"/>
                <w:vertAlign w:val="baseline"/>
                <w:lang w:val="en-US" w:eastAsia="zh-CN"/>
              </w:rPr>
              <w:t>-10.6</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From table 2-1, we can see that the performance</w:t>
      </w:r>
      <w:r>
        <w:rPr>
          <w:rFonts w:hint="eastAsia" w:cs="Times New Roman"/>
          <w:sz w:val="20"/>
          <w:szCs w:val="20"/>
          <w:lang w:val="en-US" w:eastAsia="zh-CN"/>
        </w:rPr>
        <w:t xml:space="preserve"> difference of preamble format B4</w:t>
      </w:r>
      <w:r>
        <w:rPr>
          <w:rFonts w:hint="default" w:ascii="Times New Roman" w:hAnsi="Times New Roman" w:cs="Times New Roman"/>
          <w:sz w:val="20"/>
          <w:szCs w:val="20"/>
          <w:lang w:val="en-US" w:eastAsia="zh-CN"/>
        </w:rPr>
        <w:t xml:space="preserve"> between 120kHz SCS and 60kHz for TDLA30-300 low with 4000Hz frequency offset is a</w:t>
      </w:r>
      <w:r>
        <w:rPr>
          <w:rFonts w:hint="eastAsia" w:cs="Times New Roman"/>
          <w:sz w:val="20"/>
          <w:szCs w:val="20"/>
          <w:lang w:val="en-US" w:eastAsia="zh-CN"/>
        </w:rPr>
        <w:t>bout</w:t>
      </w:r>
      <w:r>
        <w:rPr>
          <w:rFonts w:hint="default" w:ascii="Times New Roman" w:hAnsi="Times New Roman" w:cs="Times New Roman"/>
          <w:sz w:val="20"/>
          <w:szCs w:val="20"/>
          <w:lang w:val="en-US" w:eastAsia="zh-CN"/>
        </w:rPr>
        <w:t xml:space="preserve"> 3dB as PRACH with 60kHz SCS is more susceptible to Doppler shift and fixed frequency offset compared to 120kHz SCS. In addition, 60kHz is also a commonly used SCS for FR2-1 PRACH.</w:t>
      </w:r>
    </w:p>
    <w:bookmarkEnd w:id="4"/>
    <w:bookmarkEnd w:id="5"/>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bookmarkStart w:id="8" w:name="OLE_LINK11"/>
      <w:bookmarkStart w:id="9" w:name="OLE_LINK28"/>
      <w:r>
        <w:rPr>
          <w:rFonts w:hint="default" w:ascii="Times New Roman" w:hAnsi="Times New Roman" w:cs="Times New Roman"/>
          <w:b/>
          <w:bCs/>
          <w:i/>
          <w:iCs/>
          <w:kern w:val="2"/>
          <w:sz w:val="20"/>
          <w:szCs w:val="20"/>
          <w:lang w:val="en-US" w:eastAsia="zh-CN"/>
        </w:rPr>
        <w:t xml:space="preserve">Proposal </w:t>
      </w:r>
      <w:r>
        <w:rPr>
          <w:rFonts w:hint="eastAsia" w:cs="Times New Roman"/>
          <w:b/>
          <w:bCs/>
          <w:i/>
          <w:iCs/>
          <w:kern w:val="2"/>
          <w:sz w:val="20"/>
          <w:szCs w:val="20"/>
          <w:lang w:val="en-US" w:eastAsia="zh-CN"/>
        </w:rPr>
        <w:t>3</w:t>
      </w:r>
      <w:r>
        <w:rPr>
          <w:rFonts w:hint="default" w:ascii="Times New Roman" w:hAnsi="Times New Roman" w:cs="Times New Roman"/>
          <w:b/>
          <w:bCs/>
          <w:i/>
          <w:iCs/>
          <w:kern w:val="2"/>
          <w:sz w:val="20"/>
          <w:szCs w:val="20"/>
          <w:lang w:val="en-US" w:eastAsia="zh-CN"/>
        </w:rPr>
        <w:t>. To consider both 120kHz and 60kHz for FR2-1 multiple PRACH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sz w:val="20"/>
          <w:szCs w:val="20"/>
          <w:lang w:val="en-US" w:eastAsia="zh-CN"/>
        </w:rPr>
      </w:pPr>
    </w:p>
    <w:p>
      <w:pPr>
        <w:pStyle w:val="62"/>
        <w:keepLines w:val="0"/>
        <w:widowControl w:val="0"/>
        <w:spacing w:before="120" w:after="120"/>
        <w:ind w:left="0" w:firstLine="0"/>
        <w:rPr>
          <w:rFonts w:hint="default" w:ascii="Times New Roman" w:hAnsi="Times New Roman" w:cs="Times New Roman"/>
          <w:b/>
          <w:bCs/>
          <w:i/>
          <w:iCs/>
          <w:kern w:val="2"/>
          <w:sz w:val="20"/>
          <w:szCs w:val="20"/>
          <w:lang w:val="en-US" w:eastAsia="zh-CN"/>
        </w:rPr>
      </w:pPr>
    </w:p>
    <w:bookmarkEnd w:id="6"/>
    <w:bookmarkEnd w:id="7"/>
    <w:bookmarkEnd w:id="8"/>
    <w:bookmarkEnd w:id="9"/>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sz w:val="20"/>
          <w:szCs w:val="20"/>
        </w:rPr>
        <w:t xml:space="preserve">In this contribution, we give </w:t>
      </w:r>
      <w:r>
        <w:rPr>
          <w:rFonts w:hint="default" w:ascii="Times New Roman" w:hAnsi="Times New Roman" w:cs="Times New Roman"/>
          <w:sz w:val="20"/>
          <w:szCs w:val="20"/>
          <w:lang w:val="en-US" w:eastAsia="zh-CN"/>
        </w:rPr>
        <w:t xml:space="preserve">our viewpoint </w:t>
      </w:r>
      <w:r>
        <w:rPr>
          <w:rFonts w:hint="default" w:ascii="Times New Roman" w:hAnsi="Times New Roman" w:cs="Times New Roman"/>
          <w:kern w:val="0"/>
          <w:sz w:val="20"/>
          <w:szCs w:val="20"/>
          <w:lang w:val="en-US" w:eastAsia="zh-CN"/>
        </w:rPr>
        <w:t xml:space="preserve">about requirements for FR1 and the SCS selection for FR2-1for multiple PRACH </w:t>
      </w:r>
      <w:r>
        <w:rPr>
          <w:rFonts w:hint="default" w:ascii="Times New Roman" w:hAnsi="Times New Roman" w:cs="Times New Roman"/>
          <w:sz w:val="20"/>
          <w:szCs w:val="20"/>
        </w:rPr>
        <w:t xml:space="preserve">. </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The conclusions are: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r>
        <w:rPr>
          <w:rFonts w:hint="default" w:ascii="Times New Roman" w:hAnsi="Times New Roman" w:cs="Times New Roman"/>
          <w:b/>
          <w:bCs/>
          <w:i/>
          <w:iCs/>
          <w:kern w:val="2"/>
          <w:sz w:val="20"/>
          <w:szCs w:val="20"/>
          <w:lang w:val="en-US" w:eastAsia="zh-CN"/>
        </w:rPr>
        <w:t xml:space="preserve">Proposal 1. To consider the </w:t>
      </w:r>
      <w:r>
        <w:rPr>
          <w:rFonts w:hint="eastAsia" w:cs="Times New Roman"/>
          <w:b/>
          <w:bCs/>
          <w:i/>
          <w:iCs/>
          <w:kern w:val="2"/>
          <w:sz w:val="20"/>
          <w:szCs w:val="20"/>
          <w:lang w:val="en-US" w:eastAsia="zh-CN"/>
        </w:rPr>
        <w:t>following TDD pattern</w:t>
      </w:r>
      <w:r>
        <w:rPr>
          <w:rFonts w:hint="default" w:ascii="Times New Roman" w:hAnsi="Times New Roman" w:cs="Times New Roman"/>
          <w:b/>
          <w:bCs/>
          <w:i/>
          <w:iCs/>
          <w:kern w:val="2"/>
          <w:sz w:val="20"/>
          <w:szCs w:val="20"/>
          <w:lang w:val="en-US" w:eastAsia="zh-CN"/>
        </w:rPr>
        <w:t xml:space="preserve"> for </w:t>
      </w:r>
      <w:r>
        <w:rPr>
          <w:rFonts w:hint="eastAsia" w:cs="Times New Roman"/>
          <w:b/>
          <w:bCs/>
          <w:i/>
          <w:iCs/>
          <w:kern w:val="2"/>
          <w:sz w:val="20"/>
          <w:szCs w:val="20"/>
          <w:lang w:val="en-US" w:eastAsia="zh-CN"/>
        </w:rPr>
        <w:t>multiple PRACH</w:t>
      </w:r>
      <w:r>
        <w:rPr>
          <w:rFonts w:hint="default" w:ascii="Times New Roman" w:hAnsi="Times New Roman" w:cs="Times New Roman"/>
          <w:b/>
          <w:bCs/>
          <w:i/>
          <w:iCs/>
          <w:kern w:val="2"/>
          <w:sz w:val="20"/>
          <w:szCs w:val="20"/>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420" w:firstLineChars="0"/>
        <w:textAlignment w:val="auto"/>
        <w:rPr>
          <w:rFonts w:hint="default" w:ascii="Times New Roman" w:hAnsi="Times New Roman" w:cs="Times New Roman"/>
          <w:b/>
          <w:bCs/>
          <w:i/>
          <w:iCs/>
          <w:kern w:val="2"/>
          <w:sz w:val="20"/>
          <w:szCs w:val="20"/>
          <w:lang w:val="en-US" w:eastAsia="zh-CN"/>
        </w:rPr>
      </w:pPr>
      <w:r>
        <w:rPr>
          <w:rFonts w:hint="eastAsia" w:ascii="Times New Roman" w:hAnsi="Times New Roman" w:cs="Times New Roman"/>
          <w:b/>
          <w:bCs/>
          <w:i/>
          <w:iCs/>
          <w:kern w:val="2"/>
          <w:sz w:val="20"/>
          <w:szCs w:val="20"/>
          <w:lang w:val="en-US" w:eastAsia="zh-CN"/>
        </w:rPr>
        <w:t>3D1S1U for 15KHz, 60kHz and 120kHz</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420" w:firstLineChars="0"/>
        <w:textAlignment w:val="auto"/>
        <w:rPr>
          <w:rFonts w:hint="default" w:ascii="Times New Roman" w:hAnsi="Times New Roman" w:cs="Times New Roman"/>
          <w:b/>
          <w:bCs/>
          <w:i/>
          <w:iCs/>
          <w:kern w:val="2"/>
          <w:sz w:val="20"/>
          <w:szCs w:val="20"/>
          <w:lang w:val="en-US" w:eastAsia="zh-CN"/>
        </w:rPr>
      </w:pPr>
      <w:r>
        <w:rPr>
          <w:rFonts w:hint="eastAsia" w:ascii="Times New Roman" w:hAnsi="Times New Roman" w:cs="Times New Roman"/>
          <w:b/>
          <w:bCs/>
          <w:i/>
          <w:iCs/>
          <w:kern w:val="2"/>
          <w:sz w:val="20"/>
          <w:szCs w:val="20"/>
          <w:lang w:val="en-US" w:eastAsia="zh-CN"/>
        </w:rPr>
        <w:t>7D1S2U for 30kHz</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r>
        <w:rPr>
          <w:rFonts w:hint="default" w:ascii="Times New Roman" w:hAnsi="Times New Roman" w:cs="Times New Roman"/>
          <w:b/>
          <w:bCs/>
          <w:i/>
          <w:iCs/>
          <w:kern w:val="2"/>
          <w:sz w:val="20"/>
          <w:szCs w:val="20"/>
          <w:lang w:val="en-US" w:eastAsia="zh-CN"/>
        </w:rPr>
        <w:t xml:space="preserve">Proposal </w:t>
      </w:r>
      <w:r>
        <w:rPr>
          <w:rFonts w:hint="eastAsia" w:cs="Times New Roman"/>
          <w:b/>
          <w:bCs/>
          <w:i/>
          <w:iCs/>
          <w:kern w:val="2"/>
          <w:sz w:val="20"/>
          <w:szCs w:val="20"/>
          <w:lang w:val="en-US" w:eastAsia="zh-CN"/>
        </w:rPr>
        <w:t>2</w:t>
      </w:r>
      <w:r>
        <w:rPr>
          <w:rFonts w:hint="default" w:ascii="Times New Roman" w:hAnsi="Times New Roman" w:cs="Times New Roman"/>
          <w:b/>
          <w:bCs/>
          <w:i/>
          <w:iCs/>
          <w:kern w:val="2"/>
          <w:sz w:val="20"/>
          <w:szCs w:val="20"/>
          <w:lang w:val="en-US" w:eastAsia="zh-CN"/>
        </w:rPr>
        <w:t xml:space="preserve">. To consider the </w:t>
      </w:r>
      <w:r>
        <w:rPr>
          <w:rFonts w:hint="eastAsia" w:cs="Times New Roman"/>
          <w:b/>
          <w:bCs/>
          <w:i/>
          <w:iCs/>
          <w:kern w:val="2"/>
          <w:sz w:val="20"/>
          <w:szCs w:val="20"/>
          <w:lang w:val="en-US" w:eastAsia="zh-CN"/>
        </w:rPr>
        <w:t>following PRACH repetition interval for multiple PRACH</w:t>
      </w:r>
      <w:r>
        <w:rPr>
          <w:rFonts w:hint="default" w:ascii="Times New Roman" w:hAnsi="Times New Roman" w:cs="Times New Roman"/>
          <w:b/>
          <w:bCs/>
          <w:i/>
          <w:iCs/>
          <w:kern w:val="2"/>
          <w:sz w:val="20"/>
          <w:szCs w:val="20"/>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420" w:firstLineChars="0"/>
        <w:textAlignment w:val="auto"/>
        <w:rPr>
          <w:rFonts w:hint="default" w:ascii="Times New Roman" w:hAnsi="Times New Roman" w:cs="Times New Roman"/>
          <w:b/>
          <w:bCs/>
          <w:i/>
          <w:iCs/>
          <w:kern w:val="2"/>
          <w:sz w:val="20"/>
          <w:szCs w:val="20"/>
          <w:lang w:val="en-US" w:eastAsia="zh-CN"/>
        </w:rPr>
      </w:pPr>
      <w:r>
        <w:rPr>
          <w:rFonts w:hint="eastAsia" w:cs="Times New Roman"/>
          <w:b/>
          <w:bCs/>
          <w:i/>
          <w:iCs/>
          <w:kern w:val="2"/>
          <w:sz w:val="20"/>
          <w:szCs w:val="20"/>
          <w:lang w:val="en-US" w:eastAsia="zh-CN"/>
        </w:rPr>
        <w:t>5 slots</w:t>
      </w:r>
      <w:r>
        <w:rPr>
          <w:rFonts w:hint="eastAsia" w:ascii="Times New Roman" w:hAnsi="Times New Roman" w:cs="Times New Roman"/>
          <w:b/>
          <w:bCs/>
          <w:i/>
          <w:iCs/>
          <w:kern w:val="2"/>
          <w:sz w:val="20"/>
          <w:szCs w:val="20"/>
          <w:lang w:val="en-US" w:eastAsia="zh-CN"/>
        </w:rPr>
        <w:t xml:space="preserve"> for 15KHz, 60kHz and 120kHz</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420" w:firstLineChars="0"/>
        <w:textAlignment w:val="auto"/>
        <w:rPr>
          <w:rFonts w:hint="default" w:ascii="Times New Roman" w:hAnsi="Times New Roman" w:cs="Times New Roman"/>
          <w:b/>
          <w:bCs/>
          <w:i/>
          <w:iCs/>
          <w:kern w:val="2"/>
          <w:sz w:val="20"/>
          <w:szCs w:val="20"/>
          <w:lang w:val="en-US" w:eastAsia="zh-CN"/>
        </w:rPr>
      </w:pPr>
      <w:r>
        <w:rPr>
          <w:rFonts w:hint="eastAsia" w:cs="Times New Roman"/>
          <w:b/>
          <w:bCs/>
          <w:i/>
          <w:iCs/>
          <w:kern w:val="2"/>
          <w:sz w:val="20"/>
          <w:szCs w:val="20"/>
          <w:lang w:val="en-US" w:eastAsia="zh-CN"/>
        </w:rPr>
        <w:t>1 slot</w:t>
      </w:r>
      <w:r>
        <w:rPr>
          <w:rFonts w:hint="eastAsia" w:ascii="Times New Roman" w:hAnsi="Times New Roman" w:cs="Times New Roman"/>
          <w:b/>
          <w:bCs/>
          <w:i/>
          <w:iCs/>
          <w:kern w:val="2"/>
          <w:sz w:val="20"/>
          <w:szCs w:val="20"/>
          <w:lang w:val="en-US" w:eastAsia="zh-CN"/>
        </w:rPr>
        <w:t xml:space="preserve"> for 30kHz</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r>
        <w:rPr>
          <w:rFonts w:hint="default" w:ascii="Times New Roman" w:hAnsi="Times New Roman" w:cs="Times New Roman"/>
          <w:b/>
          <w:bCs/>
          <w:i/>
          <w:iCs/>
          <w:kern w:val="2"/>
          <w:sz w:val="20"/>
          <w:szCs w:val="20"/>
          <w:lang w:val="en-US" w:eastAsia="zh-CN"/>
        </w:rPr>
        <w:t xml:space="preserve">Proposal </w:t>
      </w:r>
      <w:r>
        <w:rPr>
          <w:rFonts w:hint="eastAsia" w:cs="Times New Roman"/>
          <w:b/>
          <w:bCs/>
          <w:i/>
          <w:iCs/>
          <w:kern w:val="2"/>
          <w:sz w:val="20"/>
          <w:szCs w:val="20"/>
          <w:lang w:val="en-US" w:eastAsia="zh-CN"/>
        </w:rPr>
        <w:t>3</w:t>
      </w:r>
      <w:r>
        <w:rPr>
          <w:rFonts w:hint="default" w:ascii="Times New Roman" w:hAnsi="Times New Roman" w:cs="Times New Roman"/>
          <w:b/>
          <w:bCs/>
          <w:i/>
          <w:iCs/>
          <w:kern w:val="2"/>
          <w:sz w:val="20"/>
          <w:szCs w:val="20"/>
          <w:lang w:val="en-US" w:eastAsia="zh-CN"/>
        </w:rPr>
        <w:t>. To consider both 120kHz and 60kHz for FR2-1 multiple PRACH requirements.</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0" w:name="OLE_LINK32"/>
      <w:r>
        <w:rPr>
          <w:rFonts w:hint="eastAsia"/>
          <w:sz w:val="20"/>
          <w:lang w:val="en-US" w:eastAsia="zh-CN"/>
        </w:rPr>
        <w:t xml:space="preserve"> </w:t>
      </w:r>
      <w:bookmarkEnd w:id="10"/>
      <w:r>
        <w:rPr>
          <w:rFonts w:hint="eastAsia"/>
          <w:sz w:val="20"/>
          <w:szCs w:val="20"/>
          <w:lang w:val="en-US" w:eastAsia="zh-CN"/>
        </w:rPr>
        <w:t>RP-221858</w:t>
      </w:r>
      <w:r>
        <w:rPr>
          <w:rFonts w:hint="eastAsia"/>
          <w:sz w:val="20"/>
        </w:rPr>
        <w:t>, Revised WID on Further NR coverage enhancements, China Telecom</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lang w:val="en-US" w:eastAsia="zh-CN"/>
        </w:rPr>
        <w:t>[2]  R4-2316922, WF on NR_cov_enh2_demod, Nokia</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lang w:val="en-US" w:eastAsia="zh-CN"/>
        </w:rPr>
        <w:t>[3]  3GPP TS 38.104 V18.3.0</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lang w:val="en-US" w:eastAsia="zh-CN"/>
        </w:rPr>
        <w:t>[4]  R4-2402866 WF on NR_cov_enh2_demod_v01, China Telecom</w:t>
      </w:r>
    </w:p>
    <w:p>
      <w:pPr>
        <w:widowControl w:val="0"/>
        <w:tabs>
          <w:tab w:val="left" w:pos="90"/>
          <w:tab w:val="left" w:pos="1868"/>
          <w:tab w:val="right" w:pos="10648"/>
        </w:tabs>
        <w:spacing w:beforeLines="0" w:afterLines="0" w:line="260" w:lineRule="auto"/>
        <w:jc w:val="left"/>
        <w:rPr>
          <w:rFonts w:hint="eastAsia"/>
          <w:sz w:val="20"/>
          <w:lang w:val="en-US" w:eastAsia="zh-CN"/>
        </w:rPr>
      </w:pPr>
    </w:p>
    <w:p>
      <w:pPr>
        <w:widowControl w:val="0"/>
        <w:tabs>
          <w:tab w:val="left" w:pos="90"/>
          <w:tab w:val="left" w:pos="1868"/>
          <w:tab w:val="right" w:pos="10648"/>
        </w:tabs>
        <w:spacing w:beforeLines="0" w:afterLines="0" w:line="260" w:lineRule="auto"/>
        <w:jc w:val="left"/>
        <w:rPr>
          <w:rFonts w:hint="eastAsia"/>
          <w:sz w:val="20"/>
          <w:lang w:val="en-US" w:eastAsia="zh-CN"/>
        </w:rPr>
      </w:pPr>
    </w:p>
    <w:p>
      <w:pPr>
        <w:widowControl w:val="0"/>
        <w:tabs>
          <w:tab w:val="left" w:pos="90"/>
          <w:tab w:val="left" w:pos="1868"/>
          <w:tab w:val="right" w:pos="10648"/>
        </w:tabs>
        <w:spacing w:beforeLines="0" w:afterLines="0" w:line="260" w:lineRule="auto"/>
        <w:jc w:val="left"/>
        <w:rPr>
          <w:rFonts w:hint="eastAsia"/>
          <w:sz w:val="20"/>
          <w:lang w:val="en-US" w:eastAsia="zh-CN"/>
        </w:rPr>
      </w:pPr>
    </w:p>
    <w:p>
      <w:pPr>
        <w:keepNext/>
        <w:keepLines/>
        <w:widowControl w:val="0"/>
        <w:pBdr>
          <w:top w:val="single" w:color="auto" w:sz="12" w:space="3"/>
        </w:pBdr>
        <w:spacing w:beforeLines="0" w:afterLines="0"/>
        <w:jc w:val="left"/>
        <w:outlineLvl w:val="0"/>
        <w:rPr>
          <w:rFonts w:hint="default"/>
          <w:b/>
          <w:kern w:val="0"/>
          <w:sz w:val="24"/>
          <w:szCs w:val="24"/>
          <w:lang w:val="en-US" w:eastAsia="zh-CN"/>
        </w:rPr>
      </w:pPr>
      <w:r>
        <w:rPr>
          <w:rFonts w:hint="eastAsia"/>
          <w:b/>
          <w:kern w:val="0"/>
          <w:sz w:val="24"/>
          <w:szCs w:val="24"/>
          <w:lang w:val="en-US" w:eastAsia="zh-CN"/>
        </w:rPr>
        <w:t>Annex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widowControl w:val="0"/>
              <w:tabs>
                <w:tab w:val="left" w:pos="90"/>
                <w:tab w:val="left" w:pos="1868"/>
                <w:tab w:val="right" w:pos="10648"/>
              </w:tabs>
              <w:overflowPunct w:val="0"/>
              <w:autoSpaceDE w:val="0"/>
              <w:autoSpaceDN w:val="0"/>
              <w:adjustRightInd w:val="0"/>
              <w:spacing w:beforeLines="0" w:after="180" w:afterLines="0" w:line="260" w:lineRule="auto"/>
              <w:jc w:val="left"/>
              <w:textAlignment w:val="baseline"/>
              <w:rPr>
                <w:rFonts w:hint="default"/>
                <w:sz w:val="20"/>
                <w:vertAlign w:val="baseline"/>
                <w:lang w:val="en-US" w:eastAsia="zh-CN"/>
              </w:rPr>
            </w:pPr>
            <w:r>
              <w:drawing>
                <wp:inline distT="0" distB="0" distL="114300" distR="114300">
                  <wp:extent cx="2386965" cy="1955800"/>
                  <wp:effectExtent l="0" t="0" r="571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rcRect l="3918" t="2349" r="7326" b="839"/>
                          <a:stretch>
                            <a:fillRect/>
                          </a:stretch>
                        </pic:blipFill>
                        <pic:spPr>
                          <a:xfrm>
                            <a:off x="0" y="0"/>
                            <a:ext cx="2386965" cy="1955800"/>
                          </a:xfrm>
                          <a:prstGeom prst="rect">
                            <a:avLst/>
                          </a:prstGeom>
                          <a:noFill/>
                          <a:ln>
                            <a:noFill/>
                          </a:ln>
                        </pic:spPr>
                      </pic:pic>
                    </a:graphicData>
                  </a:graphic>
                </wp:inline>
              </w:drawing>
            </w:r>
          </w:p>
        </w:tc>
        <w:tc>
          <w:tcPr>
            <w:tcW w:w="0" w:type="auto"/>
          </w:tcPr>
          <w:p>
            <w:pPr>
              <w:widowControl w:val="0"/>
              <w:tabs>
                <w:tab w:val="left" w:pos="90"/>
                <w:tab w:val="left" w:pos="1868"/>
                <w:tab w:val="right" w:pos="10648"/>
              </w:tabs>
              <w:overflowPunct w:val="0"/>
              <w:autoSpaceDE w:val="0"/>
              <w:autoSpaceDN w:val="0"/>
              <w:adjustRightInd w:val="0"/>
              <w:spacing w:beforeLines="0" w:after="180" w:afterLines="0" w:line="260" w:lineRule="auto"/>
              <w:jc w:val="left"/>
              <w:textAlignment w:val="baseline"/>
              <w:rPr>
                <w:rFonts w:hint="default"/>
                <w:sz w:val="20"/>
                <w:vertAlign w:val="baseline"/>
                <w:lang w:val="en-US" w:eastAsia="zh-CN"/>
              </w:rPr>
            </w:pPr>
            <w:r>
              <w:drawing>
                <wp:inline distT="0" distB="0" distL="114300" distR="114300">
                  <wp:extent cx="2371725" cy="1946275"/>
                  <wp:effectExtent l="0" t="0" r="571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rcRect l="4086" t="2053" r="6965" b="796"/>
                          <a:stretch>
                            <a:fillRect/>
                          </a:stretch>
                        </pic:blipFill>
                        <pic:spPr>
                          <a:xfrm>
                            <a:off x="0" y="0"/>
                            <a:ext cx="2371725" cy="19462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widowControl w:val="0"/>
              <w:tabs>
                <w:tab w:val="left" w:pos="90"/>
                <w:tab w:val="left" w:pos="1868"/>
                <w:tab w:val="right" w:pos="10648"/>
              </w:tabs>
              <w:overflowPunct w:val="0"/>
              <w:autoSpaceDE w:val="0"/>
              <w:autoSpaceDN w:val="0"/>
              <w:adjustRightInd w:val="0"/>
              <w:spacing w:beforeLines="0" w:after="180" w:afterLines="0" w:line="260" w:lineRule="auto"/>
              <w:jc w:val="left"/>
              <w:textAlignment w:val="baseline"/>
              <w:rPr>
                <w:rFonts w:hint="default"/>
                <w:sz w:val="20"/>
                <w:vertAlign w:val="baseline"/>
                <w:lang w:val="en-US" w:eastAsia="zh-CN"/>
              </w:rPr>
            </w:pPr>
            <w:r>
              <w:drawing>
                <wp:inline distT="0" distB="0" distL="114300" distR="114300">
                  <wp:extent cx="2378075" cy="1948815"/>
                  <wp:effectExtent l="0" t="0" r="1460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rcRect l="4064" t="2492" r="7362" b="858"/>
                          <a:stretch>
                            <a:fillRect/>
                          </a:stretch>
                        </pic:blipFill>
                        <pic:spPr>
                          <a:xfrm>
                            <a:off x="0" y="0"/>
                            <a:ext cx="2378075" cy="1948815"/>
                          </a:xfrm>
                          <a:prstGeom prst="rect">
                            <a:avLst/>
                          </a:prstGeom>
                          <a:noFill/>
                          <a:ln>
                            <a:noFill/>
                          </a:ln>
                        </pic:spPr>
                      </pic:pic>
                    </a:graphicData>
                  </a:graphic>
                </wp:inline>
              </w:drawing>
            </w:r>
          </w:p>
        </w:tc>
        <w:tc>
          <w:tcPr>
            <w:tcW w:w="0" w:type="auto"/>
          </w:tcPr>
          <w:p>
            <w:pPr>
              <w:widowControl w:val="0"/>
              <w:tabs>
                <w:tab w:val="left" w:pos="90"/>
                <w:tab w:val="left" w:pos="1868"/>
                <w:tab w:val="right" w:pos="10648"/>
              </w:tabs>
              <w:overflowPunct w:val="0"/>
              <w:autoSpaceDE w:val="0"/>
              <w:autoSpaceDN w:val="0"/>
              <w:adjustRightInd w:val="0"/>
              <w:spacing w:beforeLines="0" w:after="180" w:afterLines="0" w:line="260" w:lineRule="auto"/>
              <w:jc w:val="left"/>
              <w:textAlignment w:val="baseline"/>
              <w:rPr>
                <w:rFonts w:hint="default"/>
                <w:sz w:val="20"/>
                <w:vertAlign w:val="baseline"/>
                <w:lang w:val="en-US" w:eastAsia="zh-CN"/>
              </w:rPr>
            </w:pPr>
            <w:r>
              <w:drawing>
                <wp:inline distT="0" distB="0" distL="114300" distR="114300">
                  <wp:extent cx="2329180" cy="1909445"/>
                  <wp:effectExtent l="0" t="0" r="2540" b="1079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5"/>
                          <a:srcRect l="4057" t="2192" r="7711" b="1478"/>
                          <a:stretch>
                            <a:fillRect/>
                          </a:stretch>
                        </pic:blipFill>
                        <pic:spPr>
                          <a:xfrm>
                            <a:off x="0" y="0"/>
                            <a:ext cx="2329180" cy="1909445"/>
                          </a:xfrm>
                          <a:prstGeom prst="rect">
                            <a:avLst/>
                          </a:prstGeom>
                          <a:noFill/>
                          <a:ln>
                            <a:noFill/>
                          </a:ln>
                        </pic:spPr>
                      </pic:pic>
                    </a:graphicData>
                  </a:graphic>
                </wp:inline>
              </w:drawing>
            </w:r>
          </w:p>
        </w:tc>
      </w:tr>
    </w:tbl>
    <w:p>
      <w:pPr>
        <w:widowControl w:val="0"/>
        <w:tabs>
          <w:tab w:val="left" w:pos="90"/>
          <w:tab w:val="left" w:pos="1868"/>
          <w:tab w:val="right" w:pos="10648"/>
        </w:tabs>
        <w:spacing w:beforeLines="0" w:afterLines="0" w:line="260" w:lineRule="auto"/>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45ABB"/>
    <w:rsid w:val="021B7C87"/>
    <w:rsid w:val="02204817"/>
    <w:rsid w:val="022D4A6E"/>
    <w:rsid w:val="023B0A39"/>
    <w:rsid w:val="023C78A7"/>
    <w:rsid w:val="023D4988"/>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870E9"/>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D265F"/>
    <w:rsid w:val="05B92EC1"/>
    <w:rsid w:val="05CC05C9"/>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3B1905"/>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0808A0"/>
    <w:rsid w:val="09101C92"/>
    <w:rsid w:val="091C61EB"/>
    <w:rsid w:val="09306537"/>
    <w:rsid w:val="09355076"/>
    <w:rsid w:val="09392119"/>
    <w:rsid w:val="09445E95"/>
    <w:rsid w:val="094E48CF"/>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57117"/>
    <w:rsid w:val="0A4E7EF5"/>
    <w:rsid w:val="0A646846"/>
    <w:rsid w:val="0A7F2DB1"/>
    <w:rsid w:val="0A8251CA"/>
    <w:rsid w:val="0A8828AB"/>
    <w:rsid w:val="0A927DC1"/>
    <w:rsid w:val="0A9B4F7F"/>
    <w:rsid w:val="0A9C263A"/>
    <w:rsid w:val="0A9D57F5"/>
    <w:rsid w:val="0A9E3D3D"/>
    <w:rsid w:val="0AA077E0"/>
    <w:rsid w:val="0AB5214D"/>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960418"/>
    <w:rsid w:val="0CA3502C"/>
    <w:rsid w:val="0CB94808"/>
    <w:rsid w:val="0CC37BC2"/>
    <w:rsid w:val="0CD87ABE"/>
    <w:rsid w:val="0CE26C42"/>
    <w:rsid w:val="0CE632FF"/>
    <w:rsid w:val="0CE76B48"/>
    <w:rsid w:val="0CEB5DBE"/>
    <w:rsid w:val="0CF06BF8"/>
    <w:rsid w:val="0CFB523A"/>
    <w:rsid w:val="0D147C08"/>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C2479"/>
    <w:rsid w:val="109E0E2F"/>
    <w:rsid w:val="10C715C5"/>
    <w:rsid w:val="10D335EF"/>
    <w:rsid w:val="10E746EA"/>
    <w:rsid w:val="10E83FE0"/>
    <w:rsid w:val="10EC3168"/>
    <w:rsid w:val="10F52718"/>
    <w:rsid w:val="112F3754"/>
    <w:rsid w:val="113F6A80"/>
    <w:rsid w:val="114028DC"/>
    <w:rsid w:val="1141355F"/>
    <w:rsid w:val="116F1EB0"/>
    <w:rsid w:val="11722914"/>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B72E3"/>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30046"/>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734E9E"/>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2D105F"/>
    <w:rsid w:val="17355980"/>
    <w:rsid w:val="1738730F"/>
    <w:rsid w:val="17416499"/>
    <w:rsid w:val="174517AB"/>
    <w:rsid w:val="17481B81"/>
    <w:rsid w:val="17481E8B"/>
    <w:rsid w:val="174A69B0"/>
    <w:rsid w:val="174C2678"/>
    <w:rsid w:val="175007ED"/>
    <w:rsid w:val="176B45C6"/>
    <w:rsid w:val="176B5780"/>
    <w:rsid w:val="176C447F"/>
    <w:rsid w:val="17850F99"/>
    <w:rsid w:val="17875303"/>
    <w:rsid w:val="178815C4"/>
    <w:rsid w:val="1793626E"/>
    <w:rsid w:val="17991452"/>
    <w:rsid w:val="17A875F5"/>
    <w:rsid w:val="17B5256D"/>
    <w:rsid w:val="17B728E1"/>
    <w:rsid w:val="17B92501"/>
    <w:rsid w:val="17CC1970"/>
    <w:rsid w:val="17E65848"/>
    <w:rsid w:val="17E66DD8"/>
    <w:rsid w:val="17E84839"/>
    <w:rsid w:val="17EE1403"/>
    <w:rsid w:val="17F25234"/>
    <w:rsid w:val="17FC1BEE"/>
    <w:rsid w:val="17FD061B"/>
    <w:rsid w:val="17FF6314"/>
    <w:rsid w:val="18005F41"/>
    <w:rsid w:val="18025414"/>
    <w:rsid w:val="18171305"/>
    <w:rsid w:val="182A241D"/>
    <w:rsid w:val="18334194"/>
    <w:rsid w:val="183E1D37"/>
    <w:rsid w:val="183E7BF4"/>
    <w:rsid w:val="18492EFC"/>
    <w:rsid w:val="184D0787"/>
    <w:rsid w:val="185D1883"/>
    <w:rsid w:val="185E3AA1"/>
    <w:rsid w:val="18780988"/>
    <w:rsid w:val="18812331"/>
    <w:rsid w:val="18816F1C"/>
    <w:rsid w:val="18853F3E"/>
    <w:rsid w:val="18956393"/>
    <w:rsid w:val="189859AD"/>
    <w:rsid w:val="18A8582C"/>
    <w:rsid w:val="18AD1431"/>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B9603A"/>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A4292"/>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1E6D7C"/>
    <w:rsid w:val="202C5ACA"/>
    <w:rsid w:val="20446081"/>
    <w:rsid w:val="204852AD"/>
    <w:rsid w:val="20492BE6"/>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7D15BC"/>
    <w:rsid w:val="21810744"/>
    <w:rsid w:val="218D6EF5"/>
    <w:rsid w:val="2195668B"/>
    <w:rsid w:val="219F69EC"/>
    <w:rsid w:val="21A130EA"/>
    <w:rsid w:val="21AB278B"/>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B6237"/>
    <w:rsid w:val="22CD14B5"/>
    <w:rsid w:val="22E02C6E"/>
    <w:rsid w:val="22E04FF4"/>
    <w:rsid w:val="22E1121B"/>
    <w:rsid w:val="22EA4C70"/>
    <w:rsid w:val="22F62099"/>
    <w:rsid w:val="22F75251"/>
    <w:rsid w:val="22F86F75"/>
    <w:rsid w:val="22FB4D32"/>
    <w:rsid w:val="23131055"/>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405417E"/>
    <w:rsid w:val="240B5CDE"/>
    <w:rsid w:val="241B5C62"/>
    <w:rsid w:val="24352A14"/>
    <w:rsid w:val="243B2F20"/>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0D2CBB"/>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382108"/>
    <w:rsid w:val="294E766A"/>
    <w:rsid w:val="296B0F20"/>
    <w:rsid w:val="297161D3"/>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31922"/>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784D57"/>
    <w:rsid w:val="2D7919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8F7FE3"/>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A0088D"/>
    <w:rsid w:val="2FA6492D"/>
    <w:rsid w:val="2FC03679"/>
    <w:rsid w:val="2FC86676"/>
    <w:rsid w:val="2FD17A1B"/>
    <w:rsid w:val="2FD71CA4"/>
    <w:rsid w:val="2FDC4A8D"/>
    <w:rsid w:val="2FF93066"/>
    <w:rsid w:val="30021D23"/>
    <w:rsid w:val="301A71CE"/>
    <w:rsid w:val="301E049B"/>
    <w:rsid w:val="302A4BE6"/>
    <w:rsid w:val="30396A0E"/>
    <w:rsid w:val="304478EC"/>
    <w:rsid w:val="30515C8E"/>
    <w:rsid w:val="3069082A"/>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527CA"/>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491807"/>
    <w:rsid w:val="324A3219"/>
    <w:rsid w:val="32537B57"/>
    <w:rsid w:val="325779E7"/>
    <w:rsid w:val="325F618E"/>
    <w:rsid w:val="32757E99"/>
    <w:rsid w:val="327D43E5"/>
    <w:rsid w:val="328F5534"/>
    <w:rsid w:val="329A6ACE"/>
    <w:rsid w:val="32A145CA"/>
    <w:rsid w:val="32A230DB"/>
    <w:rsid w:val="32A528A3"/>
    <w:rsid w:val="32BE0772"/>
    <w:rsid w:val="32DF351E"/>
    <w:rsid w:val="32E509F7"/>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9B1D3D"/>
    <w:rsid w:val="35C06D50"/>
    <w:rsid w:val="35CD6F14"/>
    <w:rsid w:val="35D24294"/>
    <w:rsid w:val="35D71152"/>
    <w:rsid w:val="35FF6F3C"/>
    <w:rsid w:val="36075F27"/>
    <w:rsid w:val="360D1C5B"/>
    <w:rsid w:val="36121506"/>
    <w:rsid w:val="36146BB5"/>
    <w:rsid w:val="36182B79"/>
    <w:rsid w:val="361D7A43"/>
    <w:rsid w:val="361F3323"/>
    <w:rsid w:val="36402EFA"/>
    <w:rsid w:val="36496A51"/>
    <w:rsid w:val="365623F6"/>
    <w:rsid w:val="368230C6"/>
    <w:rsid w:val="36843A03"/>
    <w:rsid w:val="368F5006"/>
    <w:rsid w:val="368F7E4F"/>
    <w:rsid w:val="36925340"/>
    <w:rsid w:val="36985297"/>
    <w:rsid w:val="369F633B"/>
    <w:rsid w:val="36A30FDB"/>
    <w:rsid w:val="36A7007C"/>
    <w:rsid w:val="36B24AE8"/>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BA6810"/>
    <w:rsid w:val="38BD31EE"/>
    <w:rsid w:val="38BE4605"/>
    <w:rsid w:val="38CB3BDF"/>
    <w:rsid w:val="38D33D29"/>
    <w:rsid w:val="38D41CCF"/>
    <w:rsid w:val="38D62E18"/>
    <w:rsid w:val="38E04FCC"/>
    <w:rsid w:val="38E40A5B"/>
    <w:rsid w:val="38E842BA"/>
    <w:rsid w:val="38F07867"/>
    <w:rsid w:val="38F16A28"/>
    <w:rsid w:val="38F5790D"/>
    <w:rsid w:val="391A3359"/>
    <w:rsid w:val="39285D57"/>
    <w:rsid w:val="394B6470"/>
    <w:rsid w:val="395C6EA8"/>
    <w:rsid w:val="39872512"/>
    <w:rsid w:val="39A602F9"/>
    <w:rsid w:val="39BD45C8"/>
    <w:rsid w:val="39BF1F3E"/>
    <w:rsid w:val="39C2316A"/>
    <w:rsid w:val="39C44028"/>
    <w:rsid w:val="39E643EA"/>
    <w:rsid w:val="39F36281"/>
    <w:rsid w:val="39FA0290"/>
    <w:rsid w:val="39FD376D"/>
    <w:rsid w:val="39FD6C9C"/>
    <w:rsid w:val="3A0224B9"/>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E417E3"/>
    <w:rsid w:val="3AE440AF"/>
    <w:rsid w:val="3AF7667E"/>
    <w:rsid w:val="3B113F51"/>
    <w:rsid w:val="3B164B65"/>
    <w:rsid w:val="3B192990"/>
    <w:rsid w:val="3B295D73"/>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ED0F96"/>
    <w:rsid w:val="3DF95812"/>
    <w:rsid w:val="3E1D4B24"/>
    <w:rsid w:val="3E3A04FA"/>
    <w:rsid w:val="3E3D6B96"/>
    <w:rsid w:val="3E441C7D"/>
    <w:rsid w:val="3E490256"/>
    <w:rsid w:val="3E55739E"/>
    <w:rsid w:val="3E610D47"/>
    <w:rsid w:val="3E6C43C8"/>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633AA"/>
    <w:rsid w:val="419E60D3"/>
    <w:rsid w:val="41A32F2A"/>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50DF3"/>
    <w:rsid w:val="424B5824"/>
    <w:rsid w:val="42616DD3"/>
    <w:rsid w:val="426973AD"/>
    <w:rsid w:val="426F56CA"/>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94DDE"/>
    <w:rsid w:val="443F5998"/>
    <w:rsid w:val="44480935"/>
    <w:rsid w:val="444851FA"/>
    <w:rsid w:val="44544CC5"/>
    <w:rsid w:val="445E4DEE"/>
    <w:rsid w:val="44640994"/>
    <w:rsid w:val="446B0434"/>
    <w:rsid w:val="44756A66"/>
    <w:rsid w:val="447E4EBE"/>
    <w:rsid w:val="447F0CBA"/>
    <w:rsid w:val="44957F46"/>
    <w:rsid w:val="44994CF5"/>
    <w:rsid w:val="44AD40AD"/>
    <w:rsid w:val="44D51148"/>
    <w:rsid w:val="44DC46EB"/>
    <w:rsid w:val="44E67D8B"/>
    <w:rsid w:val="44EA6491"/>
    <w:rsid w:val="44F03F8F"/>
    <w:rsid w:val="44F14ECF"/>
    <w:rsid w:val="44F8119B"/>
    <w:rsid w:val="4504328F"/>
    <w:rsid w:val="45275172"/>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CD33B7"/>
    <w:rsid w:val="46D37F0B"/>
    <w:rsid w:val="46D71533"/>
    <w:rsid w:val="46E53335"/>
    <w:rsid w:val="47155D89"/>
    <w:rsid w:val="47287409"/>
    <w:rsid w:val="473069AF"/>
    <w:rsid w:val="474A0EAF"/>
    <w:rsid w:val="474D4AFC"/>
    <w:rsid w:val="474E50BE"/>
    <w:rsid w:val="47696F9C"/>
    <w:rsid w:val="47714F1F"/>
    <w:rsid w:val="47725A17"/>
    <w:rsid w:val="477D3243"/>
    <w:rsid w:val="478821A1"/>
    <w:rsid w:val="479128A9"/>
    <w:rsid w:val="47975EDC"/>
    <w:rsid w:val="47983B19"/>
    <w:rsid w:val="47A21144"/>
    <w:rsid w:val="47A3609D"/>
    <w:rsid w:val="47C01792"/>
    <w:rsid w:val="47C57A48"/>
    <w:rsid w:val="47D511BD"/>
    <w:rsid w:val="47DC159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E2197E"/>
    <w:rsid w:val="49EB7232"/>
    <w:rsid w:val="4A0244D3"/>
    <w:rsid w:val="4A067C85"/>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C459D"/>
    <w:rsid w:val="4C5D1F92"/>
    <w:rsid w:val="4C603F16"/>
    <w:rsid w:val="4C6262E0"/>
    <w:rsid w:val="4C644C45"/>
    <w:rsid w:val="4C6703A3"/>
    <w:rsid w:val="4C6D7518"/>
    <w:rsid w:val="4C923A72"/>
    <w:rsid w:val="4CB96B0F"/>
    <w:rsid w:val="4CBD582C"/>
    <w:rsid w:val="4CC95E72"/>
    <w:rsid w:val="4CCE34B6"/>
    <w:rsid w:val="4CDA2AF3"/>
    <w:rsid w:val="4CDF19B6"/>
    <w:rsid w:val="4CE34E9F"/>
    <w:rsid w:val="4CF52D94"/>
    <w:rsid w:val="4D015C34"/>
    <w:rsid w:val="4D030742"/>
    <w:rsid w:val="4D462159"/>
    <w:rsid w:val="4D47409F"/>
    <w:rsid w:val="4D525BE3"/>
    <w:rsid w:val="4D566017"/>
    <w:rsid w:val="4D6022FC"/>
    <w:rsid w:val="4D637556"/>
    <w:rsid w:val="4D7358D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07CCA"/>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06027"/>
    <w:rsid w:val="4EBD3E8B"/>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AC5A25"/>
    <w:rsid w:val="52B3363A"/>
    <w:rsid w:val="52C4763C"/>
    <w:rsid w:val="52C56A7E"/>
    <w:rsid w:val="52DE691D"/>
    <w:rsid w:val="52E04D27"/>
    <w:rsid w:val="52ED0C96"/>
    <w:rsid w:val="53061492"/>
    <w:rsid w:val="53061721"/>
    <w:rsid w:val="530C0E6B"/>
    <w:rsid w:val="53166FEF"/>
    <w:rsid w:val="532F77EA"/>
    <w:rsid w:val="53367575"/>
    <w:rsid w:val="533933AA"/>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D6247A"/>
    <w:rsid w:val="53DB3477"/>
    <w:rsid w:val="53DE00FF"/>
    <w:rsid w:val="53E77CBF"/>
    <w:rsid w:val="53FE7128"/>
    <w:rsid w:val="540D4449"/>
    <w:rsid w:val="540F3D40"/>
    <w:rsid w:val="54201800"/>
    <w:rsid w:val="54233D9A"/>
    <w:rsid w:val="54247F22"/>
    <w:rsid w:val="542B4430"/>
    <w:rsid w:val="542C29CD"/>
    <w:rsid w:val="542F1551"/>
    <w:rsid w:val="54381756"/>
    <w:rsid w:val="54560076"/>
    <w:rsid w:val="545750B7"/>
    <w:rsid w:val="545A1EBF"/>
    <w:rsid w:val="5469692F"/>
    <w:rsid w:val="54727478"/>
    <w:rsid w:val="54885FFE"/>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022EB"/>
    <w:rsid w:val="57770501"/>
    <w:rsid w:val="577B3337"/>
    <w:rsid w:val="577D4F28"/>
    <w:rsid w:val="57A33734"/>
    <w:rsid w:val="57AB6ADD"/>
    <w:rsid w:val="57B7178E"/>
    <w:rsid w:val="57B71EB5"/>
    <w:rsid w:val="57B76EED"/>
    <w:rsid w:val="57BD72A7"/>
    <w:rsid w:val="57BE5838"/>
    <w:rsid w:val="57BE5B51"/>
    <w:rsid w:val="57CE70CD"/>
    <w:rsid w:val="57D82354"/>
    <w:rsid w:val="57EC50F6"/>
    <w:rsid w:val="57FC07D9"/>
    <w:rsid w:val="57FF6992"/>
    <w:rsid w:val="580F1B21"/>
    <w:rsid w:val="5813251D"/>
    <w:rsid w:val="581B7E79"/>
    <w:rsid w:val="58437ECA"/>
    <w:rsid w:val="58500F22"/>
    <w:rsid w:val="58587379"/>
    <w:rsid w:val="58667ABC"/>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3559FD"/>
    <w:rsid w:val="594079B2"/>
    <w:rsid w:val="596A187B"/>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0540F"/>
    <w:rsid w:val="5BC677D8"/>
    <w:rsid w:val="5BEB0120"/>
    <w:rsid w:val="5BEC175C"/>
    <w:rsid w:val="5C097C4E"/>
    <w:rsid w:val="5C1A3A93"/>
    <w:rsid w:val="5C235386"/>
    <w:rsid w:val="5C2E6510"/>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7A6EE7"/>
    <w:rsid w:val="6182260C"/>
    <w:rsid w:val="618D6AD7"/>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E54611"/>
    <w:rsid w:val="63F47D2A"/>
    <w:rsid w:val="63FE2D33"/>
    <w:rsid w:val="64046427"/>
    <w:rsid w:val="640F1891"/>
    <w:rsid w:val="642265C6"/>
    <w:rsid w:val="64264A79"/>
    <w:rsid w:val="64290FA1"/>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0AA0"/>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0B6225"/>
    <w:rsid w:val="661D25CE"/>
    <w:rsid w:val="66206CF2"/>
    <w:rsid w:val="66265846"/>
    <w:rsid w:val="66287C9C"/>
    <w:rsid w:val="662E4097"/>
    <w:rsid w:val="664805B8"/>
    <w:rsid w:val="665572E9"/>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1C64D7"/>
    <w:rsid w:val="682211D1"/>
    <w:rsid w:val="6836510C"/>
    <w:rsid w:val="68400DC4"/>
    <w:rsid w:val="685A4DFB"/>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E175AE"/>
    <w:rsid w:val="69F0745A"/>
    <w:rsid w:val="6A0D20F2"/>
    <w:rsid w:val="6A1D59EC"/>
    <w:rsid w:val="6A247F72"/>
    <w:rsid w:val="6A3E2393"/>
    <w:rsid w:val="6A435B92"/>
    <w:rsid w:val="6A444DB8"/>
    <w:rsid w:val="6A4D4828"/>
    <w:rsid w:val="6A516AC3"/>
    <w:rsid w:val="6A5303BA"/>
    <w:rsid w:val="6A641D9C"/>
    <w:rsid w:val="6A677080"/>
    <w:rsid w:val="6A6C357E"/>
    <w:rsid w:val="6A711183"/>
    <w:rsid w:val="6A717BCD"/>
    <w:rsid w:val="6A7B4B9C"/>
    <w:rsid w:val="6A7F585E"/>
    <w:rsid w:val="6AAF014C"/>
    <w:rsid w:val="6AC07690"/>
    <w:rsid w:val="6ACB082B"/>
    <w:rsid w:val="6AD3247E"/>
    <w:rsid w:val="6AE4699C"/>
    <w:rsid w:val="6AF317C6"/>
    <w:rsid w:val="6B09696B"/>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E727F5"/>
    <w:rsid w:val="6BEC7AFC"/>
    <w:rsid w:val="6C077473"/>
    <w:rsid w:val="6C0858B3"/>
    <w:rsid w:val="6C240DF3"/>
    <w:rsid w:val="6C267BF0"/>
    <w:rsid w:val="6C3E2FAF"/>
    <w:rsid w:val="6C45610F"/>
    <w:rsid w:val="6C59472D"/>
    <w:rsid w:val="6C5A4564"/>
    <w:rsid w:val="6C603744"/>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AB5BEE"/>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60B3B"/>
    <w:rsid w:val="70BB2EF0"/>
    <w:rsid w:val="70BC2801"/>
    <w:rsid w:val="70BE26FE"/>
    <w:rsid w:val="70C6646C"/>
    <w:rsid w:val="70C72A96"/>
    <w:rsid w:val="70FC2D1E"/>
    <w:rsid w:val="71015D6B"/>
    <w:rsid w:val="710266F5"/>
    <w:rsid w:val="71115386"/>
    <w:rsid w:val="71151975"/>
    <w:rsid w:val="71336A65"/>
    <w:rsid w:val="71545B37"/>
    <w:rsid w:val="71570E43"/>
    <w:rsid w:val="71573E01"/>
    <w:rsid w:val="715A268F"/>
    <w:rsid w:val="71702748"/>
    <w:rsid w:val="717C4AD2"/>
    <w:rsid w:val="71867894"/>
    <w:rsid w:val="719F7A78"/>
    <w:rsid w:val="71B623F6"/>
    <w:rsid w:val="71C42AEF"/>
    <w:rsid w:val="71C7540C"/>
    <w:rsid w:val="71D438FF"/>
    <w:rsid w:val="71F64A63"/>
    <w:rsid w:val="71F870B8"/>
    <w:rsid w:val="72021233"/>
    <w:rsid w:val="720B2A1D"/>
    <w:rsid w:val="72380401"/>
    <w:rsid w:val="724F048A"/>
    <w:rsid w:val="72502F9F"/>
    <w:rsid w:val="725817D3"/>
    <w:rsid w:val="726E6AD4"/>
    <w:rsid w:val="727C422C"/>
    <w:rsid w:val="728E71EE"/>
    <w:rsid w:val="7292045A"/>
    <w:rsid w:val="72974DBE"/>
    <w:rsid w:val="72A20C20"/>
    <w:rsid w:val="72AC5E95"/>
    <w:rsid w:val="72AD26CF"/>
    <w:rsid w:val="72C13ED7"/>
    <w:rsid w:val="72C46163"/>
    <w:rsid w:val="72CF1AC7"/>
    <w:rsid w:val="72E42AFA"/>
    <w:rsid w:val="72E85578"/>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B4BF4"/>
    <w:rsid w:val="73CC319B"/>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50BD"/>
    <w:rsid w:val="746B732F"/>
    <w:rsid w:val="746E18CB"/>
    <w:rsid w:val="746F3904"/>
    <w:rsid w:val="748D52FA"/>
    <w:rsid w:val="74986414"/>
    <w:rsid w:val="74993216"/>
    <w:rsid w:val="74B11E80"/>
    <w:rsid w:val="74B44784"/>
    <w:rsid w:val="74B808BF"/>
    <w:rsid w:val="74C03187"/>
    <w:rsid w:val="74E4756E"/>
    <w:rsid w:val="74EA0E1A"/>
    <w:rsid w:val="74ED19FF"/>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B15C41"/>
    <w:rsid w:val="75B23B19"/>
    <w:rsid w:val="75CC5191"/>
    <w:rsid w:val="75D12923"/>
    <w:rsid w:val="75EA364B"/>
    <w:rsid w:val="75EC6D49"/>
    <w:rsid w:val="75F20996"/>
    <w:rsid w:val="75F96973"/>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EB7937"/>
    <w:rsid w:val="77F3789A"/>
    <w:rsid w:val="780326B9"/>
    <w:rsid w:val="780332E5"/>
    <w:rsid w:val="780B2EAA"/>
    <w:rsid w:val="7833711D"/>
    <w:rsid w:val="78460D63"/>
    <w:rsid w:val="78470057"/>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5F1C81"/>
    <w:rsid w:val="7A6E4BF5"/>
    <w:rsid w:val="7A7A2665"/>
    <w:rsid w:val="7A851D5D"/>
    <w:rsid w:val="7A8A2267"/>
    <w:rsid w:val="7AB53126"/>
    <w:rsid w:val="7AB7121B"/>
    <w:rsid w:val="7AB76FE8"/>
    <w:rsid w:val="7AD268E2"/>
    <w:rsid w:val="7ADC0B33"/>
    <w:rsid w:val="7AE14C19"/>
    <w:rsid w:val="7AEA174E"/>
    <w:rsid w:val="7AEC1F55"/>
    <w:rsid w:val="7B001A91"/>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A765D"/>
    <w:rsid w:val="7D2E198F"/>
    <w:rsid w:val="7D3B3737"/>
    <w:rsid w:val="7D3D73AF"/>
    <w:rsid w:val="7D5B27C9"/>
    <w:rsid w:val="7D62117D"/>
    <w:rsid w:val="7D6B7F02"/>
    <w:rsid w:val="7D834A16"/>
    <w:rsid w:val="7D9D0A97"/>
    <w:rsid w:val="7D9D438F"/>
    <w:rsid w:val="7DA514D2"/>
    <w:rsid w:val="7DB66976"/>
    <w:rsid w:val="7DBB5D06"/>
    <w:rsid w:val="7DCD1A27"/>
    <w:rsid w:val="7DCD4EB5"/>
    <w:rsid w:val="7DD76E6E"/>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6D45C9"/>
    <w:rsid w:val="7F775413"/>
    <w:rsid w:val="7F7D7A8E"/>
    <w:rsid w:val="7F872588"/>
    <w:rsid w:val="7F8725BA"/>
    <w:rsid w:val="7F8C6A8F"/>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wmf"/><Relationship Id="rId14" Type="http://schemas.openxmlformats.org/officeDocument/2006/relationships/image" Target="media/image3.wmf"/><Relationship Id="rId13" Type="http://schemas.openxmlformats.org/officeDocument/2006/relationships/image" Target="media/image2.wmf"/><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0</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2024-04-08T11:58:42Z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FBE525C786E743D597468B69D21E7799</vt:lpwstr>
  </property>
</Properties>
</file>